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color w:val="c00000"/>
        </w:rPr>
      </w:pPr>
      <w:r w:rsidDel="00000000" w:rsidR="00000000" w:rsidRPr="00000000">
        <w:rPr>
          <w:rtl w:val="0"/>
        </w:rPr>
      </w:r>
    </w:p>
    <w:p w:rsidR="00000000" w:rsidDel="00000000" w:rsidP="00000000" w:rsidRDefault="00000000" w:rsidRPr="00000000" w14:paraId="00000002">
      <w:pPr>
        <w:pStyle w:val="Heading1"/>
        <w:rPr>
          <w:b w:val="1"/>
          <w:color w:val="9c1a2c"/>
        </w:rPr>
      </w:pPr>
      <w:r w:rsidDel="00000000" w:rsidR="00000000" w:rsidRPr="00000000">
        <w:rPr>
          <w:b w:val="1"/>
          <w:color w:val="9c1a2c"/>
          <w:rtl w:val="0"/>
        </w:rPr>
        <w:t xml:space="preserve">Tā te Taki-Whaikaha i te Aroturuki o te UNCRPD </w:t>
      </w:r>
    </w:p>
    <w:p w:rsidR="00000000" w:rsidDel="00000000" w:rsidP="00000000" w:rsidRDefault="00000000" w:rsidRPr="00000000" w14:paraId="00000003">
      <w:pPr>
        <w:pStyle w:val="Heading1"/>
        <w:rPr>
          <w:b w:val="1"/>
          <w:color w:val="9c1a2c"/>
        </w:rPr>
      </w:pPr>
      <w:r w:rsidDel="00000000" w:rsidR="00000000" w:rsidRPr="00000000">
        <w:rPr>
          <w:b w:val="1"/>
          <w:color w:val="9c1a2c"/>
          <w:rtl w:val="0"/>
        </w:rPr>
        <w:t xml:space="preserve">Ōku Wheako, Ōku Mōtika: </w:t>
      </w:r>
      <w:r w:rsidDel="00000000" w:rsidR="00000000" w:rsidRPr="00000000">
        <w:rPr>
          <w:b w:val="1"/>
          <w:color w:val="9c1a2c"/>
          <w:u w:val="single"/>
          <w:rtl w:val="0"/>
        </w:rPr>
        <w:t xml:space="preserve">K</w:t>
      </w:r>
      <w:r w:rsidDel="00000000" w:rsidR="00000000" w:rsidRPr="00000000">
        <w:rPr>
          <w:b w:val="1"/>
          <w:color w:val="9c1a2c"/>
          <w:rtl w:val="0"/>
        </w:rPr>
        <w:t xml:space="preserve">ā Tautoko me </w:t>
      </w:r>
      <w:r w:rsidDel="00000000" w:rsidR="00000000" w:rsidRPr="00000000">
        <w:rPr>
          <w:b w:val="1"/>
          <w:color w:val="9c1a2c"/>
          <w:u w:val="single"/>
          <w:rtl w:val="0"/>
        </w:rPr>
        <w:t xml:space="preserve">k</w:t>
      </w:r>
      <w:r w:rsidDel="00000000" w:rsidR="00000000" w:rsidRPr="00000000">
        <w:rPr>
          <w:b w:val="1"/>
          <w:color w:val="9c1a2c"/>
          <w:rtl w:val="0"/>
        </w:rPr>
        <w:t xml:space="preserve">ā Rato</w:t>
      </w:r>
      <w:r w:rsidDel="00000000" w:rsidR="00000000" w:rsidRPr="00000000">
        <w:rPr>
          <w:b w:val="1"/>
          <w:color w:val="9c1a2c"/>
          <w:u w:val="single"/>
          <w:rtl w:val="0"/>
        </w:rPr>
        <w:t xml:space="preserve">k</w:t>
      </w:r>
      <w:r w:rsidDel="00000000" w:rsidR="00000000" w:rsidRPr="00000000">
        <w:rPr>
          <w:b w:val="1"/>
          <w:color w:val="9c1a2c"/>
          <w:rtl w:val="0"/>
        </w:rPr>
        <w:t xml:space="preserve">a</w:t>
      </w:r>
    </w:p>
    <w:p w:rsidR="00000000" w:rsidDel="00000000" w:rsidP="00000000" w:rsidRDefault="00000000" w:rsidRPr="00000000" w14:paraId="00000004">
      <w:pPr>
        <w:pStyle w:val="Heading1"/>
        <w:rPr>
          <w:b w:val="1"/>
          <w:color w:val="9c1a2c"/>
        </w:rPr>
      </w:pPr>
      <w:r w:rsidDel="00000000" w:rsidR="00000000" w:rsidRPr="00000000">
        <w:rPr>
          <w:rtl w:val="0"/>
        </w:rPr>
      </w:r>
    </w:p>
    <w:p w:rsidR="00000000" w:rsidDel="00000000" w:rsidP="00000000" w:rsidRDefault="00000000" w:rsidRPr="00000000" w14:paraId="00000005">
      <w:pPr>
        <w:pStyle w:val="Heading1"/>
        <w:rPr>
          <w:b w:val="1"/>
          <w:color w:val="9c1a2c"/>
        </w:rPr>
      </w:pPr>
      <w:r w:rsidDel="00000000" w:rsidR="00000000" w:rsidRPr="00000000">
        <w:rPr>
          <w:b w:val="1"/>
          <w:color w:val="9c1a2c"/>
          <w:rtl w:val="0"/>
        </w:rPr>
        <w:t xml:space="preserve">Pūro</w:t>
      </w:r>
      <w:r w:rsidDel="00000000" w:rsidR="00000000" w:rsidRPr="00000000">
        <w:rPr>
          <w:b w:val="1"/>
          <w:color w:val="9c1a2c"/>
          <w:u w:val="single"/>
          <w:rtl w:val="0"/>
        </w:rPr>
        <w:t xml:space="preserve">k</w:t>
      </w:r>
      <w:r w:rsidDel="00000000" w:rsidR="00000000" w:rsidRPr="00000000">
        <w:rPr>
          <w:b w:val="1"/>
          <w:color w:val="9c1a2c"/>
          <w:rtl w:val="0"/>
        </w:rPr>
        <w:t xml:space="preserve">o 2 - Whiriwhiri Kōrero me te Whakapāpā</w:t>
      </w:r>
    </w:p>
    <w:p w:rsidR="00000000" w:rsidDel="00000000" w:rsidP="00000000" w:rsidRDefault="00000000" w:rsidRPr="00000000" w14:paraId="00000006">
      <w:pPr>
        <w:pStyle w:val="Heading1"/>
        <w:rPr>
          <w:b w:val="1"/>
          <w:color w:val="9c1a2c"/>
        </w:rPr>
      </w:pPr>
      <w:r w:rsidDel="00000000" w:rsidR="00000000" w:rsidRPr="00000000">
        <w:rPr>
          <w:b w:val="1"/>
          <w:color w:val="9c1a2c"/>
          <w:rtl w:val="0"/>
        </w:rPr>
        <w:t xml:space="preserve">Whakarāpopotota</w:t>
      </w:r>
      <w:r w:rsidDel="00000000" w:rsidR="00000000" w:rsidRPr="00000000">
        <w:rPr>
          <w:b w:val="1"/>
          <w:color w:val="9c1a2c"/>
          <w:u w:val="single"/>
          <w:rtl w:val="0"/>
        </w:rPr>
        <w:t xml:space="preserve">k</w:t>
      </w:r>
      <w:r w:rsidDel="00000000" w:rsidR="00000000" w:rsidRPr="00000000">
        <w:rPr>
          <w:b w:val="1"/>
          <w:color w:val="9c1a2c"/>
          <w:rtl w:val="0"/>
        </w:rPr>
        <w:t xml:space="preserve">a Kite</w:t>
      </w:r>
      <w:r w:rsidDel="00000000" w:rsidR="00000000" w:rsidRPr="00000000">
        <w:rPr>
          <w:b w:val="1"/>
          <w:color w:val="9c1a2c"/>
          <w:u w:val="single"/>
          <w:rtl w:val="0"/>
        </w:rPr>
        <w:t xml:space="preserve">k</w:t>
      </w:r>
      <w:r w:rsidDel="00000000" w:rsidR="00000000" w:rsidRPr="00000000">
        <w:rPr>
          <w:b w:val="1"/>
          <w:color w:val="9c1a2c"/>
          <w:rtl w:val="0"/>
        </w:rPr>
        <w:t xml:space="preserve">a me </w:t>
      </w:r>
      <w:r w:rsidDel="00000000" w:rsidR="00000000" w:rsidRPr="00000000">
        <w:rPr>
          <w:b w:val="1"/>
          <w:color w:val="9c1a2c"/>
          <w:u w:val="single"/>
          <w:rtl w:val="0"/>
        </w:rPr>
        <w:t xml:space="preserve">k</w:t>
      </w:r>
      <w:r w:rsidDel="00000000" w:rsidR="00000000" w:rsidRPr="00000000">
        <w:rPr>
          <w:b w:val="1"/>
          <w:color w:val="9c1a2c"/>
          <w:rtl w:val="0"/>
        </w:rPr>
        <w:t xml:space="preserve">ā Tohutohu</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b w:val="1"/>
          <w:sz w:val="36"/>
          <w:szCs w:val="36"/>
          <w:rtl w:val="0"/>
        </w:rPr>
        <w:t xml:space="preserve">Reo Māori</w:t>
      </w:r>
    </w:p>
    <w:p w:rsidR="00000000" w:rsidDel="00000000" w:rsidP="00000000" w:rsidRDefault="00000000" w:rsidRPr="00000000" w14:paraId="00000008">
      <w:pPr>
        <w:spacing w:line="360" w:lineRule="auto"/>
        <w:rPr>
          <w:b w:val="1"/>
          <w:color w:val="9c1b2d"/>
          <w:sz w:val="38"/>
          <w:szCs w:val="38"/>
        </w:rPr>
      </w:pPr>
      <w:bookmarkStart w:colFirst="0" w:colLast="0" w:name="_heading=h.912hay2pg58h" w:id="0"/>
      <w:bookmarkEnd w:id="0"/>
      <w:r w:rsidDel="00000000" w:rsidR="00000000" w:rsidRPr="00000000">
        <w:rPr>
          <w:rtl w:val="0"/>
        </w:rPr>
      </w:r>
    </w:p>
    <w:p w:rsidR="00000000" w:rsidDel="00000000" w:rsidP="00000000" w:rsidRDefault="00000000" w:rsidRPr="00000000" w14:paraId="00000009">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0A">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0B">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0C">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0D">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0E">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0F">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0">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1">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2">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3">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4">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5">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6">
      <w:pPr>
        <w:spacing w:line="36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7">
      <w:pPr>
        <w:spacing w:line="360" w:lineRule="auto"/>
        <w:rPr>
          <w:rFonts w:ascii="Lexend Light" w:cs="Lexend Light" w:eastAsia="Lexend Light" w:hAnsi="Lexend Light"/>
          <w:sz w:val="20"/>
          <w:szCs w:val="20"/>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Author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Donald Beasley Institute (DBI). The DBI is an organisation that does disability research and education. The DBI is committed to ethical, inclusive, and transformative research and projects that promote the rights of disabled people.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Project Brief</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In 2021, at the request of the Disabled People’s Organisation (DPO) Coalition, the  DBI started a third cycle of disabled person-led monitoring to explore whether the New Zealand government is realising disabled people’s rights under the United Nations Convention on the Rights of Persons with Disabilities (UNCRPD). The DPO Coalition chose disability supports and services as the topic to be monitored. When DBI started this monitoring cycle many changes were happening in the disability sector. For example, Whaikaha - Ministry of Disabled People (the Ministry) was established in July 2022.</w:t>
                </w:r>
              </w:p>
            </w:tc>
            <w:tc>
              <w:tcP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Kaituhi</w:t>
                </w:r>
              </w:p>
              <w:p w:rsidR="00000000" w:rsidDel="00000000" w:rsidP="00000000" w:rsidRDefault="00000000" w:rsidRPr="00000000" w14:paraId="0000001D">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Pūtahi o Donald Beasley (DBI). Ko DBI tētahi tari e mahi ana i te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ahau me te</w:t>
                </w:r>
              </w:p>
              <w:p w:rsidR="00000000" w:rsidDel="00000000" w:rsidP="00000000" w:rsidRDefault="00000000" w:rsidRPr="00000000" w14:paraId="0000001E">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mātaura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hauāta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E manawanui ana a DBI ki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ahau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hino</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whakaumu</w:t>
                </w:r>
              </w:p>
              <w:p w:rsidR="00000000" w:rsidDel="00000000" w:rsidP="00000000" w:rsidRDefault="00000000" w:rsidRPr="00000000" w14:paraId="0000001F">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hai whakataira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mōtika o te hu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whaikaha.</w:t>
                </w:r>
              </w:p>
              <w:p w:rsidR="00000000" w:rsidDel="00000000" w:rsidP="00000000" w:rsidRDefault="00000000" w:rsidRPr="00000000" w14:paraId="00000020">
                <w:pPr>
                  <w:widowControl w:val="0"/>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Mahere Hino</w:t>
                </w:r>
                <w:r w:rsidDel="00000000" w:rsidR="00000000" w:rsidRPr="00000000">
                  <w:rPr>
                    <w:rFonts w:ascii="Lexend" w:cs="Lexend" w:eastAsia="Lexend" w:hAnsi="Lexend"/>
                    <w:b w:val="1"/>
                    <w:sz w:val="20"/>
                    <w:szCs w:val="20"/>
                    <w:u w:val="single"/>
                    <w:rtl w:val="0"/>
                  </w:rPr>
                  <w:t xml:space="preserve">k</w:t>
                </w:r>
                <w:r w:rsidDel="00000000" w:rsidR="00000000" w:rsidRPr="00000000">
                  <w:rPr>
                    <w:rFonts w:ascii="Lexend" w:cs="Lexend" w:eastAsia="Lexend" w:hAnsi="Lexend"/>
                    <w:b w:val="1"/>
                    <w:sz w:val="20"/>
                    <w:szCs w:val="20"/>
                    <w:rtl w:val="0"/>
                  </w:rPr>
                  <w:t xml:space="preserve">a</w:t>
                </w:r>
              </w:p>
              <w:p w:rsidR="00000000" w:rsidDel="00000000" w:rsidP="00000000" w:rsidRDefault="00000000" w:rsidRPr="00000000" w14:paraId="00000021">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I te tau 2021, ka tono te Tari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apū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(DPO) ki a DBI ki te kawe</w:t>
                </w:r>
              </w:p>
              <w:p w:rsidR="00000000" w:rsidDel="00000000" w:rsidP="00000000" w:rsidRDefault="00000000" w:rsidRPr="00000000" w14:paraId="00000022">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aroturuki taki-whaikaha mō te pai o te kāwanata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o Aotearoa ki te whakatinana i te Hui Taumata Mōtika Whaikaha a te Rūna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Whakakotahi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Iwi o te Ao (UNCRPD) i</w:t>
                </w:r>
              </w:p>
              <w:p w:rsidR="00000000" w:rsidDel="00000000" w:rsidP="00000000" w:rsidRDefault="00000000" w:rsidRPr="00000000" w14:paraId="00000023">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Aotearoa nei. I whiri te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apū DPO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tautoko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rato</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hai aroturuki. Nō te</w:t>
                </w:r>
              </w:p>
              <w:p w:rsidR="00000000" w:rsidDel="00000000" w:rsidP="00000000" w:rsidRDefault="00000000" w:rsidRPr="00000000" w14:paraId="00000024">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taki</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a DBI i tēnei huri</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aroturuki, ka nui hoki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panonita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i te rā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ai whaikaha. Hai tauira, i whakatūria te Manatū Whaikaha i te Hūrae, i te tau 2022.</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In March 2024, restrictions were placed on some disability support services and funding and, after an independent review in August 2024, the new Ministry experienced further changes.</w:t>
                </w:r>
              </w:p>
            </w:tc>
            <w:tc>
              <w:tcP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I te Maehe 2024, i tau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ārikarika ki ru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i ētahi rato</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tautoko whaikaha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pūtea tautoko, ā, nō muri mai i tētahi arotake motuhake i te Akuhata 2024, i panonihia anō ētahi anō āhuata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o te Manatū hou.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The disabled person-led monitoring team collected data through interviews, focus groups and a nationwide questionnaire. The findings presented in this report focus on disabled people, family, whānau, aiga and close supporters’ feelings and views about the Government’s engagement and consultation with the disability community about the Ministry, and the March 2024 changes.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The findings also highlight participants’ hopes and dreams for the Government’s consultation and engagement processes with the disability community in the future.</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I kohikohi te tīma aroturuki taki-whaikaha i te rarau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mā te uiui, mā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rōpū arotahi me tētahi uiui ā-motu. Ko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rarau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kua whārikihia i tēnei pūro</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o he aro pū ki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ō rātou whānau, aiga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kaitautoko tata e pā ana ki ō rātou kare ā-roto me ō rātou tiroha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ki te whakapāpā me te whiriwhiri kōrero a te Manatū Whaikaha ki te hapori whaikaha mō te Manatū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panonita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i Māehe 2024. </w:t>
                </w:r>
              </w:p>
              <w:p w:rsidR="00000000" w:rsidDel="00000000" w:rsidP="00000000" w:rsidRDefault="00000000" w:rsidRPr="00000000" w14:paraId="0000002B">
                <w:pPr>
                  <w:widowControl w:val="0"/>
                  <w:spacing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Tērā hoki e pūkana mai ana ko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manako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wawata mō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tuka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whakapāpā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tuka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whiriwhiri kōrero a te kāwanata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ki te hapori whaikaha hai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tau e heke mai.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Key Research Findings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Whaikaha - Ministry of Disabled People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Under Te Tiriti o Waitangi, the Government has an obligation to consult with tākata whaikaha Māori. The Ministry created a partnership between disabled people, tākata whaikaha Māori and the Crown called the ‘Tripartite Partnership’.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Disability sector leader participants felt there was active involvement and close consultation between disabled people, tākata whaikaha Māori and the Crown through this Partnership when the Ministry began.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However, engagement with disabled people was reduced or stopped soon after its establishment, either due to personal reasons or because of changes in the Ministry. These changes impacted Māori and Pasefika leaders from the disability sector, who felt their perspectives were reduced or lost. Some leaders believed the Ministry  was not prepared to genuinely partner with the disability community. Participants highlighted that it was common for the Government to decide what the disability community needs and how their needs should be met. When consultation processes took place, participants felt that most decisions had already been made. Disability sector leaders said that system transformation should be designed and led by disabled people, instead of just consulting disabled people about it. They also said consultation that happens after decisions are made is not consultation.</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Kā Kiteka Matua</w:t>
                </w:r>
              </w:p>
              <w:p w:rsidR="00000000" w:rsidDel="00000000" w:rsidP="00000000" w:rsidRDefault="00000000" w:rsidRPr="00000000" w14:paraId="00000035">
                <w:pPr>
                  <w:widowControl w:val="0"/>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Manatū Whaikaha</w:t>
                </w:r>
              </w:p>
              <w:p w:rsidR="00000000" w:rsidDel="00000000" w:rsidP="00000000" w:rsidRDefault="00000000" w:rsidRPr="00000000" w14:paraId="00000036">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I raro i Te Tiriti o Waitangi, me mātua whiriwhiri kōrero te kāwanata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ki te taha 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Māori. I waiha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mai te kāwanata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i tētahi hono</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Māori me te karauna arā ko te 'Kāhui Takitoru Mahitahi''. </w:t>
                </w:r>
              </w:p>
              <w:p w:rsidR="00000000" w:rsidDel="00000000" w:rsidP="00000000" w:rsidRDefault="00000000" w:rsidRPr="00000000" w14:paraId="00000037">
                <w:pPr>
                  <w:widowControl w:val="0"/>
                  <w:spacing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I whakaaro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atira o te rā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ai whaikaha inā te kaha o te mahi tahi me te whiriwhiri kōrero i wae</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Māori me te Karauna i raro i te Mahitahi nei, i te timatata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mai o te Manatū. </w:t>
                </w:r>
              </w:p>
              <w:p w:rsidR="00000000" w:rsidDel="00000000" w:rsidP="00000000" w:rsidRDefault="00000000" w:rsidRPr="00000000" w14:paraId="00000039">
                <w:pPr>
                  <w:widowControl w:val="0"/>
                  <w:spacing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Heoti, nō muri tata mai i tōhona whakatūta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ka aukatia mai o te whakapāpā ki te hu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whaikaha, he take matawhaiaro nō te 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rānei, he panota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rānei nō roto i te Manatū. I pā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ia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atira Māori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atira Moana-nui-a-Kiwa rā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ai whaikaha e ēnei panonita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me te whakaaro i a rātou kua waimeha, kua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aro rānei ō rātou whakaaro. Hai tā ētahi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atira kāore te Manatū i te rite kia motuhe</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te mahitahi ki te hapori whaikaha. Tā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kaiuru i āta tohu ai ko te rite tonu o te kāwanata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ki te whakatau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matea hapori whaikaha me te whakaea i aua matea hapori. Ka timata ana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tuka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whiriwhiri, ka whakaaro ake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kaiuru kua oti kē te nui</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o k</w:t>
                </w:r>
                <w:r w:rsidDel="00000000" w:rsidR="00000000" w:rsidRPr="00000000">
                  <w:rPr>
                    <w:rFonts w:ascii="Lexend Light" w:cs="Lexend Light" w:eastAsia="Lexend Light" w:hAnsi="Lexend Light"/>
                    <w:sz w:val="20"/>
                    <w:szCs w:val="20"/>
                    <w:u w:val="single"/>
                    <w:rtl w:val="0"/>
                  </w:rPr>
                  <w:t xml:space="preserve">ā</w:t>
                </w:r>
                <w:r w:rsidDel="00000000" w:rsidR="00000000" w:rsidRPr="00000000">
                  <w:rPr>
                    <w:rFonts w:ascii="Lexend Light" w:cs="Lexend Light" w:eastAsia="Lexend Light" w:hAnsi="Lexend Light"/>
                    <w:sz w:val="20"/>
                    <w:szCs w:val="20"/>
                    <w:rtl w:val="0"/>
                  </w:rPr>
                  <w:t xml:space="preserve"> whakatau. Tā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atira o te rā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ai whaikaha mātua te whaikaha hai hoahoa, hai ārahi i te pūnaha whakaumu, kaua ko te whiriwhiri kōrero noa iho. Waihoki, ehara te whiriwhiri kōrero i muri kē mai i te whakatau i te whiriwhiri kōrero.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Changes to Purchasing Rules and Equipment and Modification Services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Participants highlighted a lack of consultation regarding the 18 March 2024 changes to Purchasing Rules and Equipment and Modification Services (EMS). The changes negatively impacted many people in the disability community. Participants felt the changes did not consider the needs of  people with intersectional identities such as Māori and Pasefika disabled people. The Ministry said some disabled people had been consulted but there was not enough time for consultation with the wider disability community, fund holders, and service providers. There was no accessible information about the changes until late April 2024, which left some participants unsure about what the changes meant for them. Service providers and fund holders also experienced confusion due to the lack of communication. Many participants found out about the changes through social media. On the other hand, some participants said the announcement was the first time they learned about supports they are entitled to. Following the changes in March, an independent review of the Ministry was initiated, which also lacked consultation.</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The sudden changes caused a lot of distress in the disability community. Participants shared feelings of despair, panic, and concern for their future support needs. The lack of consultation and engagement meant that disabled people were less trusting of the Ministry and the Government.</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u w:val="single"/>
                    <w:rtl w:val="0"/>
                  </w:rPr>
                  <w:t xml:space="preserve">K</w:t>
                </w:r>
                <w:r w:rsidDel="00000000" w:rsidR="00000000" w:rsidRPr="00000000">
                  <w:rPr>
                    <w:rFonts w:ascii="Lexend" w:cs="Lexend" w:eastAsia="Lexend" w:hAnsi="Lexend"/>
                    <w:b w:val="1"/>
                    <w:sz w:val="20"/>
                    <w:szCs w:val="20"/>
                    <w:rtl w:val="0"/>
                  </w:rPr>
                  <w:t xml:space="preserve">ā Panonita</w:t>
                </w:r>
                <w:r w:rsidDel="00000000" w:rsidR="00000000" w:rsidRPr="00000000">
                  <w:rPr>
                    <w:rFonts w:ascii="Lexend" w:cs="Lexend" w:eastAsia="Lexend" w:hAnsi="Lexend"/>
                    <w:b w:val="1"/>
                    <w:sz w:val="20"/>
                    <w:szCs w:val="20"/>
                    <w:u w:val="single"/>
                    <w:rtl w:val="0"/>
                  </w:rPr>
                  <w:t xml:space="preserve">k</w:t>
                </w:r>
                <w:r w:rsidDel="00000000" w:rsidR="00000000" w:rsidRPr="00000000">
                  <w:rPr>
                    <w:rFonts w:ascii="Lexend" w:cs="Lexend" w:eastAsia="Lexend" w:hAnsi="Lexend"/>
                    <w:b w:val="1"/>
                    <w:sz w:val="20"/>
                    <w:szCs w:val="20"/>
                    <w:rtl w:val="0"/>
                  </w:rPr>
                  <w:t xml:space="preserve">a Ture Hoko me </w:t>
                </w:r>
                <w:r w:rsidDel="00000000" w:rsidR="00000000" w:rsidRPr="00000000">
                  <w:rPr>
                    <w:rFonts w:ascii="Lexend" w:cs="Lexend" w:eastAsia="Lexend" w:hAnsi="Lexend"/>
                    <w:b w:val="1"/>
                    <w:sz w:val="20"/>
                    <w:szCs w:val="20"/>
                    <w:u w:val="single"/>
                    <w:rtl w:val="0"/>
                  </w:rPr>
                  <w:t xml:space="preserve">K</w:t>
                </w:r>
                <w:r w:rsidDel="00000000" w:rsidR="00000000" w:rsidRPr="00000000">
                  <w:rPr>
                    <w:rFonts w:ascii="Lexend" w:cs="Lexend" w:eastAsia="Lexend" w:hAnsi="Lexend"/>
                    <w:b w:val="1"/>
                    <w:sz w:val="20"/>
                    <w:szCs w:val="20"/>
                    <w:rtl w:val="0"/>
                  </w:rPr>
                  <w:t xml:space="preserve">ā Rato</w:t>
                </w:r>
                <w:r w:rsidDel="00000000" w:rsidR="00000000" w:rsidRPr="00000000">
                  <w:rPr>
                    <w:rFonts w:ascii="Lexend" w:cs="Lexend" w:eastAsia="Lexend" w:hAnsi="Lexend"/>
                    <w:b w:val="1"/>
                    <w:sz w:val="20"/>
                    <w:szCs w:val="20"/>
                    <w:u w:val="single"/>
                    <w:rtl w:val="0"/>
                  </w:rPr>
                  <w:t xml:space="preserve">k</w:t>
                </w:r>
                <w:r w:rsidDel="00000000" w:rsidR="00000000" w:rsidRPr="00000000">
                  <w:rPr>
                    <w:rFonts w:ascii="Lexend" w:cs="Lexend" w:eastAsia="Lexend" w:hAnsi="Lexend"/>
                    <w:b w:val="1"/>
                    <w:sz w:val="20"/>
                    <w:szCs w:val="20"/>
                    <w:rtl w:val="0"/>
                  </w:rPr>
                  <w:t xml:space="preserve">a Taputapu me te Whakarerekē</w:t>
                </w:r>
              </w:p>
              <w:p w:rsidR="00000000" w:rsidDel="00000000" w:rsidP="00000000" w:rsidRDefault="00000000" w:rsidRPr="00000000" w14:paraId="00000040">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I āta tohu mai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kaiuru i te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oikore o te whiriwhiri kōrero e pā ana ki tā 18 o Māehe 2024 panonita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Ture Hoko me Kā Ratoka Taputapu me te Whakarerekē (EMS). He tāmi ēnei panonita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i te tokomaha i te hapori whaikaha. Tā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kaiuru kāore ēnei panonita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i tautohu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matea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tuakiri pūtahi pēnei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Māori,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Moana-nui-a-Kiwa. I mea te Manatū tērā ētahi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i whakapā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ia, e</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ari i pau te wā, tē whiriwhiri kōrero whānui ai ki te hapori whānui, ki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kaipupuri tahua pūtea,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kaikawe rato</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Kāore he pāro</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o tūmatanui ā mutu noa ā Āperira 2024, i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irua ai ētahi kaiuru he aha te pā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mai o rātou ki ēnei panonita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Tērā hoki te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irua 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kaikawe rato</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kaipupuri tahua pūtea nā te koretake o te whakawhitiwhiti kōrero. Nā te pae pāpori kē ētahi kaiuru i mōhio ai ki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panonita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Manohi anō, nō te whakapuaki</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rawa kātahi ētahi ka mōhio ki ō rātou āhei</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tautoko. Nō muri rawa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panonita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i Māehe, tērā te arotake motuhake ka tū, me te aha, koretake tonu te whiriwhiri kōrero.</w:t>
                </w:r>
              </w:p>
              <w:p w:rsidR="00000000" w:rsidDel="00000000" w:rsidP="00000000" w:rsidRDefault="00000000" w:rsidRPr="00000000" w14:paraId="00000041">
                <w:pPr>
                  <w:widowControl w:val="0"/>
                  <w:spacing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Nā te panoni ohotata i auhi ai te hapori whaikaha. Ko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kare ā roto i whā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ai mai ai te hu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kaiuru ko te kaniāwhea, ko te maurirere, me te mānukanuka ki ō rātou matea tautoko mō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i e heke mai. Nā te koretake o te whiriwhiri kōrero me te whakapāpā e waimeha nei te whakapono 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ki te Manatū me te Kāwanata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Hopes and Recommendations</w:t>
                </w:r>
              </w:p>
              <w:p w:rsidR="00000000" w:rsidDel="00000000" w:rsidP="00000000" w:rsidRDefault="00000000" w:rsidRPr="00000000" w14:paraId="00000044">
                <w:pPr>
                  <w:spacing w:line="240" w:lineRule="auto"/>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Participants provided recommendations for effective engagement and consultation with the disability community, including:</w:t>
                </w:r>
              </w:p>
              <w:p w:rsidR="00000000" w:rsidDel="00000000" w:rsidP="00000000" w:rsidRDefault="00000000" w:rsidRPr="00000000" w14:paraId="00000046">
                <w:pPr>
                  <w:numPr>
                    <w:ilvl w:val="0"/>
                    <w:numId w:val="2"/>
                  </w:numPr>
                  <w:spacing w:line="240" w:lineRule="auto"/>
                  <w:ind w:left="720" w:hanging="360"/>
                  <w:rPr/>
                </w:pPr>
                <w:r w:rsidDel="00000000" w:rsidR="00000000" w:rsidRPr="00000000">
                  <w:rPr>
                    <w:rtl w:val="0"/>
                  </w:rPr>
                  <w:t xml:space="preserve">Building the capacity of tākata whaikaha, whānau hauā, turi Māori, and disabled people so they can participate in engagement and consultation fully and effectively.</w:t>
                </w:r>
              </w:p>
              <w:p w:rsidR="00000000" w:rsidDel="00000000" w:rsidP="00000000" w:rsidRDefault="00000000" w:rsidRPr="00000000" w14:paraId="00000047">
                <w:pPr>
                  <w:numPr>
                    <w:ilvl w:val="0"/>
                    <w:numId w:val="2"/>
                  </w:numPr>
                  <w:spacing w:line="240" w:lineRule="auto"/>
                  <w:ind w:left="72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Early and regular engagement and consultation.</w:t>
                </w:r>
              </w:p>
              <w:p w:rsidR="00000000" w:rsidDel="00000000" w:rsidP="00000000" w:rsidRDefault="00000000" w:rsidRPr="00000000" w14:paraId="00000048">
                <w:pPr>
                  <w:numPr>
                    <w:ilvl w:val="0"/>
                    <w:numId w:val="2"/>
                  </w:numPr>
                  <w:spacing w:line="240" w:lineRule="auto"/>
                  <w:ind w:left="72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Ensure engagement and consultation is genuine and not tokenistic.</w:t>
                </w:r>
              </w:p>
              <w:p w:rsidR="00000000" w:rsidDel="00000000" w:rsidP="00000000" w:rsidRDefault="00000000" w:rsidRPr="00000000" w14:paraId="00000049">
                <w:pPr>
                  <w:numPr>
                    <w:ilvl w:val="0"/>
                    <w:numId w:val="2"/>
                  </w:numPr>
                  <w:spacing w:line="240" w:lineRule="auto"/>
                  <w:ind w:left="72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Consult and engage with a wide and diverse range of disabled people and disability organisations.</w:t>
                </w:r>
              </w:p>
              <w:p w:rsidR="00000000" w:rsidDel="00000000" w:rsidP="00000000" w:rsidRDefault="00000000" w:rsidRPr="00000000" w14:paraId="0000004A">
                <w:pPr>
                  <w:numPr>
                    <w:ilvl w:val="0"/>
                    <w:numId w:val="2"/>
                  </w:numPr>
                  <w:spacing w:line="240" w:lineRule="auto"/>
                  <w:ind w:left="72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Provide government officials with disabled person-led training and education on their obligations under the UNCRPD, including how to effectively engage and consult with the disability community.</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Ko </w:t>
                </w:r>
                <w:r w:rsidDel="00000000" w:rsidR="00000000" w:rsidRPr="00000000">
                  <w:rPr>
                    <w:rFonts w:ascii="Lexend" w:cs="Lexend" w:eastAsia="Lexend" w:hAnsi="Lexend"/>
                    <w:b w:val="1"/>
                    <w:sz w:val="20"/>
                    <w:szCs w:val="20"/>
                    <w:u w:val="single"/>
                    <w:rtl w:val="0"/>
                  </w:rPr>
                  <w:t xml:space="preserve">k</w:t>
                </w:r>
                <w:r w:rsidDel="00000000" w:rsidR="00000000" w:rsidRPr="00000000">
                  <w:rPr>
                    <w:rFonts w:ascii="Lexend" w:cs="Lexend" w:eastAsia="Lexend" w:hAnsi="Lexend"/>
                    <w:b w:val="1"/>
                    <w:sz w:val="20"/>
                    <w:szCs w:val="20"/>
                    <w:rtl w:val="0"/>
                  </w:rPr>
                  <w:t xml:space="preserve">ā Tūmanako me </w:t>
                </w:r>
                <w:r w:rsidDel="00000000" w:rsidR="00000000" w:rsidRPr="00000000">
                  <w:rPr>
                    <w:rFonts w:ascii="Lexend" w:cs="Lexend" w:eastAsia="Lexend" w:hAnsi="Lexend"/>
                    <w:b w:val="1"/>
                    <w:sz w:val="20"/>
                    <w:szCs w:val="20"/>
                    <w:u w:val="single"/>
                    <w:rtl w:val="0"/>
                  </w:rPr>
                  <w:t xml:space="preserve">k</w:t>
                </w:r>
                <w:r w:rsidDel="00000000" w:rsidR="00000000" w:rsidRPr="00000000">
                  <w:rPr>
                    <w:rFonts w:ascii="Lexend" w:cs="Lexend" w:eastAsia="Lexend" w:hAnsi="Lexend"/>
                    <w:b w:val="1"/>
                    <w:sz w:val="20"/>
                    <w:szCs w:val="20"/>
                    <w:rtl w:val="0"/>
                  </w:rPr>
                  <w:t xml:space="preserve">ā Tohutohu</w:t>
                </w:r>
              </w:p>
              <w:p w:rsidR="00000000" w:rsidDel="00000000" w:rsidP="00000000" w:rsidRDefault="00000000" w:rsidRPr="00000000" w14:paraId="0000004C">
                <w:pPr>
                  <w:widowControl w:val="0"/>
                  <w:spacing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Nā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kaiuru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tohutohu i tuku mai mō te wāhi ki te kou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o te whakapāpā me te whiriwhirikōrero ki te hapori whaikaha, arā:</w:t>
                </w:r>
              </w:p>
              <w:p w:rsidR="00000000" w:rsidDel="00000000" w:rsidP="00000000" w:rsidRDefault="00000000" w:rsidRPr="00000000" w14:paraId="0000004E">
                <w:pPr>
                  <w:widowControl w:val="0"/>
                  <w:numPr>
                    <w:ilvl w:val="0"/>
                    <w:numId w:val="1"/>
                  </w:numPr>
                  <w:spacing w:line="240" w:lineRule="auto"/>
                  <w:ind w:left="72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He whakatōrōpuku i te raukaha 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tā</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 whaikaha, 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whānau hauā, o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turi Māori, e taea ai e rātou te whakapāpā me te whiriwhiri kōrero, kia tōrōpuku, kia kou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anō hoki.</w:t>
                </w:r>
              </w:p>
              <w:p w:rsidR="00000000" w:rsidDel="00000000" w:rsidP="00000000" w:rsidRDefault="00000000" w:rsidRPr="00000000" w14:paraId="0000004F">
                <w:pPr>
                  <w:widowControl w:val="0"/>
                  <w:numPr>
                    <w:ilvl w:val="0"/>
                    <w:numId w:val="1"/>
                  </w:numPr>
                  <w:spacing w:line="240" w:lineRule="auto"/>
                  <w:ind w:left="72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He wawe, he rite tonu te whakapāpā me te whiriwhiri kōrero.</w:t>
                </w:r>
              </w:p>
              <w:p w:rsidR="00000000" w:rsidDel="00000000" w:rsidP="00000000" w:rsidRDefault="00000000" w:rsidRPr="00000000" w14:paraId="00000050">
                <w:pPr>
                  <w:widowControl w:val="0"/>
                  <w:numPr>
                    <w:ilvl w:val="0"/>
                    <w:numId w:val="1"/>
                  </w:numPr>
                  <w:spacing w:line="240" w:lineRule="auto"/>
                  <w:ind w:left="72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He whakaū i te motuhe</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o te whakapāpā me te whiriwhiri kōrero, koi kīia he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utu kau noa.</w:t>
                </w:r>
              </w:p>
              <w:p w:rsidR="00000000" w:rsidDel="00000000" w:rsidP="00000000" w:rsidRDefault="00000000" w:rsidRPr="00000000" w14:paraId="00000051">
                <w:pPr>
                  <w:widowControl w:val="0"/>
                  <w:numPr>
                    <w:ilvl w:val="0"/>
                    <w:numId w:val="1"/>
                  </w:numPr>
                  <w:spacing w:line="240" w:lineRule="auto"/>
                  <w:ind w:left="72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He whiriwhiri kōrero, he whakapāpā ki te whānui, ki te whāroa o te hu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whaikaha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tari whaikaha.</w:t>
                </w:r>
              </w:p>
              <w:p w:rsidR="00000000" w:rsidDel="00000000" w:rsidP="00000000" w:rsidRDefault="00000000" w:rsidRPr="00000000" w14:paraId="00000052">
                <w:pPr>
                  <w:widowControl w:val="0"/>
                  <w:numPr>
                    <w:ilvl w:val="0"/>
                    <w:numId w:val="1"/>
                  </w:numPr>
                  <w:spacing w:line="240" w:lineRule="auto"/>
                  <w:ind w:left="72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He āwhina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āpiha kāwanata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ki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whaka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u me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mātaura</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taki-whaikaha i raro 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kawa o te UNCRPD, tae atu ki </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ā pūke</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whakapā, whiri kōrero kou</w:t>
                </w:r>
                <w:r w:rsidDel="00000000" w:rsidR="00000000" w:rsidRPr="00000000">
                  <w:rPr>
                    <w:rFonts w:ascii="Lexend Light" w:cs="Lexend Light" w:eastAsia="Lexend Light" w:hAnsi="Lexend Light"/>
                    <w:sz w:val="20"/>
                    <w:szCs w:val="20"/>
                    <w:u w:val="single"/>
                    <w:rtl w:val="0"/>
                  </w:rPr>
                  <w:t xml:space="preserve">k</w:t>
                </w:r>
                <w:r w:rsidDel="00000000" w:rsidR="00000000" w:rsidRPr="00000000">
                  <w:rPr>
                    <w:rFonts w:ascii="Lexend Light" w:cs="Lexend Light" w:eastAsia="Lexend Light" w:hAnsi="Lexend Light"/>
                    <w:sz w:val="20"/>
                    <w:szCs w:val="20"/>
                    <w:rtl w:val="0"/>
                  </w:rPr>
                  <w:t xml:space="preserve">a nei ki te hapori whaikaha.</w:t>
                </w:r>
              </w:p>
            </w:tc>
          </w:tr>
        </w:tbl>
      </w:sdtContent>
    </w:sdt>
    <w:p w:rsidR="00000000" w:rsidDel="00000000" w:rsidP="00000000" w:rsidRDefault="00000000" w:rsidRPr="00000000" w14:paraId="00000053">
      <w:pPr>
        <w:spacing w:line="360" w:lineRule="auto"/>
        <w:rPr>
          <w:rFonts w:ascii="Lexend Light" w:cs="Lexend Light" w:eastAsia="Lexend Light" w:hAnsi="Lexend Light"/>
          <w:sz w:val="20"/>
          <w:szCs w:val="20"/>
        </w:rPr>
        <w:sectPr>
          <w:headerReference r:id="rId7" w:type="default"/>
          <w:footerReference r:id="rId8" w:type="default"/>
          <w:pgSz w:h="15840" w:w="12240" w:orient="portrait"/>
          <w:pgMar w:bottom="1440" w:top="1440" w:left="1440" w:right="1440" w:header="288" w:footer="0"/>
          <w:pgNumType w:start="1"/>
        </w:sectPr>
      </w:pPr>
      <w:r w:rsidDel="00000000" w:rsidR="00000000" w:rsidRPr="00000000">
        <w:rPr>
          <w:rtl w:val="0"/>
        </w:rPr>
      </w:r>
    </w:p>
    <w:p w:rsidR="00000000" w:rsidDel="00000000" w:rsidP="00000000" w:rsidRDefault="00000000" w:rsidRPr="00000000" w14:paraId="00000054">
      <w:pPr>
        <w:spacing w:line="360" w:lineRule="auto"/>
        <w:rPr>
          <w:sz w:val="24"/>
          <w:szCs w:val="24"/>
        </w:rPr>
      </w:pPr>
      <w:r w:rsidDel="00000000" w:rsidR="00000000" w:rsidRPr="00000000">
        <w:rPr>
          <w:rtl w:val="0"/>
        </w:rPr>
      </w:r>
    </w:p>
    <w:sectPr>
      <w:type w:val="nextPage"/>
      <w:pgSz w:h="15840" w:w="12240" w:orient="portrait"/>
      <w:pgMar w:bottom="1440" w:top="1440" w:left="1440" w:right="1440" w:header="288"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Light">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right"/>
      <w:rPr/>
    </w:pPr>
    <w:r w:rsidDel="00000000" w:rsidR="00000000" w:rsidRPr="00000000">
      <w:rPr/>
      <w:drawing>
        <wp:anchor allowOverlap="1" behindDoc="0" distB="57150" distT="57150" distL="57150" distR="57150" hidden="0" layoutInCell="1" locked="0" relativeHeight="0" simplePos="0">
          <wp:simplePos x="0" y="0"/>
          <wp:positionH relativeFrom="margin">
            <wp:posOffset>4414837</wp:posOffset>
          </wp:positionH>
          <wp:positionV relativeFrom="margin">
            <wp:posOffset>-752473</wp:posOffset>
          </wp:positionV>
          <wp:extent cx="2224282" cy="495250"/>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4282" cy="4952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-555412</wp:posOffset>
          </wp:positionH>
          <wp:positionV relativeFrom="paragraph">
            <wp:posOffset>-168697</wp:posOffset>
          </wp:positionV>
          <wp:extent cx="1772788" cy="867833"/>
          <wp:effectExtent b="0" l="0" r="0" t="0"/>
          <wp:wrapSquare wrapText="bothSides" distB="0" distT="0" distL="114300" distR="114300"/>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772788" cy="8678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81588A"/>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1588A"/>
    <w:rPr>
      <w:rFonts w:ascii="Times New Roman" w:cs="Times New Roman" w:hAnsi="Times New Roman"/>
      <w:sz w:val="18"/>
      <w:szCs w:val="18"/>
    </w:rPr>
  </w:style>
  <w:style w:type="paragraph" w:styleId="Header">
    <w:name w:val="header"/>
    <w:basedOn w:val="Normal"/>
    <w:link w:val="HeaderChar"/>
    <w:uiPriority w:val="99"/>
    <w:unhideWhenUsed w:val="1"/>
    <w:rsid w:val="0081588A"/>
    <w:pPr>
      <w:tabs>
        <w:tab w:val="center" w:pos="4680"/>
        <w:tab w:val="right" w:pos="9360"/>
      </w:tabs>
      <w:spacing w:line="240" w:lineRule="auto"/>
    </w:pPr>
  </w:style>
  <w:style w:type="character" w:styleId="HeaderChar" w:customStyle="1">
    <w:name w:val="Header Char"/>
    <w:basedOn w:val="DefaultParagraphFont"/>
    <w:link w:val="Header"/>
    <w:uiPriority w:val="99"/>
    <w:rsid w:val="0081588A"/>
  </w:style>
  <w:style w:type="paragraph" w:styleId="Footer">
    <w:name w:val="footer"/>
    <w:basedOn w:val="Normal"/>
    <w:link w:val="FooterChar"/>
    <w:uiPriority w:val="99"/>
    <w:unhideWhenUsed w:val="1"/>
    <w:rsid w:val="0081588A"/>
    <w:pPr>
      <w:tabs>
        <w:tab w:val="center" w:pos="4680"/>
        <w:tab w:val="right" w:pos="9360"/>
      </w:tabs>
      <w:spacing w:line="240" w:lineRule="auto"/>
    </w:pPr>
  </w:style>
  <w:style w:type="character" w:styleId="FooterChar" w:customStyle="1">
    <w:name w:val="Footer Char"/>
    <w:basedOn w:val="DefaultParagraphFont"/>
    <w:link w:val="Footer"/>
    <w:uiPriority w:val="99"/>
    <w:rsid w:val="0081588A"/>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Lexend-regular.ttf"/><Relationship Id="rId4"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3Xh7Iu0eWB91siHyiKV2DZxHw==">CgMxLjAaHwoBMBIaChgICVIUChJ0YWJsZS5oazVxaXlkc292ZW4yDmguOTEyaGF5MnBnNThoOAByITFrM1l5cXRtZTcwa1lJZlhFY09vaTE1Yms3cmZ4YnJJeA==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2025-05-06T03:52:00Z</dcterms:created>
</cp:coreProperties>
</file>